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rtl w:val="0"/>
        </w:rPr>
        <w:t xml:space="preserve">Título</w:t>
      </w:r>
      <w:r w:rsidDel="00000000" w:rsidR="00000000" w:rsidRPr="00000000">
        <w:rPr>
          <w:rtl w:val="0"/>
        </w:rPr>
        <w:t xml:space="preserve">: Inteligencia Emocional vs Inteligencia Intelectual  </w:t>
      </w:r>
    </w:p>
    <w:p w:rsidR="00000000" w:rsidDel="00000000" w:rsidP="00000000" w:rsidRDefault="00000000" w:rsidRPr="00000000" w14:paraId="00000002">
      <w:pPr>
        <w:spacing w:after="240" w:before="240" w:lineRule="auto"/>
        <w:rPr/>
      </w:pPr>
      <w:r w:rsidDel="00000000" w:rsidR="00000000" w:rsidRPr="00000000">
        <w:rPr>
          <w:b w:val="1"/>
          <w:rtl w:val="0"/>
        </w:rPr>
        <w:t xml:space="preserve">Por</w:t>
      </w:r>
      <w:r w:rsidDel="00000000" w:rsidR="00000000" w:rsidRPr="00000000">
        <w:rPr>
          <w:rtl w:val="0"/>
        </w:rPr>
        <w:t xml:space="preserve">: </w:t>
      </w:r>
      <w:r w:rsidDel="00000000" w:rsidR="00000000" w:rsidRPr="00000000">
        <w:rPr>
          <w:rtl w:val="0"/>
        </w:rPr>
        <w:t xml:space="preserve">Jaedalynn</w:t>
      </w:r>
      <w:r w:rsidDel="00000000" w:rsidR="00000000" w:rsidRPr="00000000">
        <w:rPr>
          <w:rtl w:val="0"/>
        </w:rPr>
        <w:t xml:space="preserve"> Hall  </w:t>
      </w:r>
    </w:p>
    <w:p w:rsidR="00000000" w:rsidDel="00000000" w:rsidP="00000000" w:rsidRDefault="00000000" w:rsidRPr="00000000" w14:paraId="00000003">
      <w:pPr>
        <w:spacing w:after="240" w:before="240" w:lineRule="auto"/>
        <w:rPr/>
      </w:pPr>
      <w:r w:rsidDel="00000000" w:rsidR="00000000" w:rsidRPr="00000000">
        <w:rPr>
          <w:b w:val="1"/>
          <w:rtl w:val="0"/>
        </w:rPr>
        <w:t xml:space="preserve">Editor</w:t>
      </w:r>
      <w:r w:rsidDel="00000000" w:rsidR="00000000" w:rsidRPr="00000000">
        <w:rPr>
          <w:rtl w:val="0"/>
        </w:rPr>
        <w:t xml:space="preserve">: Psicología  </w:t>
      </w:r>
    </w:p>
    <w:p w:rsidR="00000000" w:rsidDel="00000000" w:rsidP="00000000" w:rsidRDefault="00000000" w:rsidRPr="00000000" w14:paraId="00000004">
      <w:pPr>
        <w:spacing w:after="240" w:before="240" w:lineRule="auto"/>
        <w:rPr/>
      </w:pPr>
      <w:r w:rsidDel="00000000" w:rsidR="00000000" w:rsidRPr="00000000">
        <w:rPr>
          <w:b w:val="1"/>
          <w:rtl w:val="0"/>
        </w:rPr>
        <w:t xml:space="preserve">Coeditores</w:t>
      </w:r>
      <w:r w:rsidDel="00000000" w:rsidR="00000000" w:rsidRPr="00000000">
        <w:rPr>
          <w:rtl w:val="0"/>
        </w:rPr>
        <w:t xml:space="preserve">: Kelsey Ericah Ang, Astrid Craig y Hailey de Fermery  </w:t>
      </w:r>
    </w:p>
    <w:p w:rsidR="00000000" w:rsidDel="00000000" w:rsidP="00000000" w:rsidRDefault="00000000" w:rsidRPr="00000000" w14:paraId="00000005">
      <w:pPr>
        <w:spacing w:after="240" w:before="240" w:lineRule="auto"/>
        <w:rPr/>
      </w:pPr>
      <w:r w:rsidDel="00000000" w:rsidR="00000000" w:rsidRPr="00000000">
        <w:rPr>
          <w:b w:val="1"/>
          <w:rtl w:val="0"/>
        </w:rPr>
        <w:t xml:space="preserve">Colaborador semanal</w:t>
      </w:r>
      <w:r w:rsidDel="00000000" w:rsidR="00000000" w:rsidRPr="00000000">
        <w:rPr>
          <w:rtl w:val="0"/>
        </w:rPr>
        <w:t xml:space="preserve">: EQ vs IQ</w:t>
      </w:r>
    </w:p>
    <w:p w:rsidR="00000000" w:rsidDel="00000000" w:rsidP="00000000" w:rsidRDefault="00000000" w:rsidRPr="00000000" w14:paraId="00000006">
      <w:pPr>
        <w:spacing w:after="240" w:before="240" w:lineRule="auto"/>
        <w:rPr/>
      </w:pPr>
      <w:r w:rsidDel="00000000" w:rsidR="00000000" w:rsidRPr="00000000">
        <w:rPr>
          <w:rtl w:val="0"/>
        </w:rPr>
        <w:t xml:space="preserve">La inteligencia emocional (IE) y la inteligencia intelectual (CI) son características únicas pero interconectadas que moldean el crecimiento personal y el éxito. La CI abarca habilidades cognitivas como el razonamiento lógico, la resolución de problemas y la capacidad de procesar información, siendo vital para sobresalir en actividades académicas o técnicas. Medida a través de pruebas estandarizadas, la CI aborda el "qué" y el "cómo" de las tareas intelectuales. Mientras tanto, la IE se centra en entender y manejar las emociones, tanto las propias como las de los demás. Resalta habilidades como la empatía, la autoconciencia y la comunicación interpersonal, las cuales son invaluables para fomentar relaciones significativas, resolver conflictos y mantener la calma en situaciones emocionalmente intensas.</w:t>
      </w:r>
    </w:p>
    <w:p w:rsidR="00000000" w:rsidDel="00000000" w:rsidP="00000000" w:rsidRDefault="00000000" w:rsidRPr="00000000" w14:paraId="00000007">
      <w:pPr>
        <w:spacing w:after="240" w:before="240" w:lineRule="auto"/>
        <w:rPr/>
      </w:pPr>
      <w:r w:rsidDel="00000000" w:rsidR="00000000" w:rsidRPr="00000000">
        <w:rPr>
          <w:rtl w:val="0"/>
        </w:rPr>
        <w:t xml:space="preserve">Fortalecer la IE implica adoptar estrategias prácticas que se integren en la vida cotidiana. Cultivar la autoconciencia es un punto clave de partida, alcanzable mediante la atención plena, escribir en un diario y reflexionar sobre patrones emocionales. La autorregulación se construye sobre esto fomentando respuestas reflexivas, técnicas de manejo del estrés como la respiración profunda, y estableciendo límites saludables. La empatía es otro pilar, desarrollada a través de escuchar activamente, explorar perspectivas diversas y participar en actividades comunitarias. Además, refinar habilidades sociales—como interpretar señales no verbales, mantener un diálogo abierto y resolver conflictos de forma colaborativa—mejora tu capacidad para conectarte efectivamente con los demás.</w:t>
      </w:r>
    </w:p>
    <w:p w:rsidR="00000000" w:rsidDel="00000000" w:rsidP="00000000" w:rsidRDefault="00000000" w:rsidRPr="00000000" w14:paraId="00000008">
      <w:pPr>
        <w:spacing w:after="240" w:before="240" w:lineRule="auto"/>
        <w:rPr/>
      </w:pPr>
      <w:r w:rsidDel="00000000" w:rsidR="00000000" w:rsidRPr="00000000">
        <w:rPr>
          <w:rtl w:val="0"/>
        </w:rPr>
        <w:t xml:space="preserve">Para nutrir particularmente la autoconciencia, integrar una mezcla de prácticas resulta transformador. Dedica tiempo a reflexionar regularmente sobre tus elecciones y su impacto, y busca comentarios honestos de personas de confianza para descubrir perspectivas sobre tu comportamiento y áreas de crecimiento. Participar en la escucha activa durante las conversaciones fomenta una conciencia más profunda de tu estilo de comunicación, mientras que explorar marcos de personalidad como el Myers-Briggs ofrece perspectivas valiosas sobre tus tendencias naturales. Anclar estas prácticas a objetivos y valores personales asegura que tus acciones permanezcan auténticas y alineadas con quién eres. Con esfuerzo intencional, la autoconciencia y la inteligencia emocional florecerán, enriqueciendo tus experiencias emocionales y sociales.</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