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rFonts w:ascii="Times New Roman" w:cs="Times New Roman" w:eastAsia="Times New Roman" w:hAnsi="Times New Roman"/>
          <w:b w:val="1"/>
          <w:color w:val="000000"/>
          <w:sz w:val="26"/>
          <w:szCs w:val="26"/>
        </w:rPr>
      </w:pPr>
      <w:bookmarkStart w:colFirst="0" w:colLast="0" w:name="_d4ti9i908uwp" w:id="0"/>
      <w:bookmarkEnd w:id="0"/>
      <w:r w:rsidDel="00000000" w:rsidR="00000000" w:rsidRPr="00000000">
        <w:rPr>
          <w:rFonts w:ascii="Times New Roman" w:cs="Times New Roman" w:eastAsia="Times New Roman" w:hAnsi="Times New Roman"/>
          <w:b w:val="1"/>
          <w:color w:val="000000"/>
          <w:sz w:val="26"/>
          <w:szCs w:val="26"/>
          <w:rtl w:val="0"/>
        </w:rPr>
        <w:t xml:space="preserve">🇪🇸 Mercado Bursátil en Volatilidad Mientras Trump Suspende Temporalmente Aranceles</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Por:</w:t>
      </w:r>
      <w:r w:rsidDel="00000000" w:rsidR="00000000" w:rsidRPr="00000000">
        <w:rPr>
          <w:rFonts w:ascii="Times New Roman" w:cs="Times New Roman" w:eastAsia="Times New Roman" w:hAnsi="Times New Roman"/>
          <w:sz w:val="24"/>
          <w:szCs w:val="24"/>
          <w:rtl w:val="0"/>
        </w:rPr>
        <w:t xml:space="preserve"> Ethan Jones</w:t>
        <w:br w:type="textWrapping"/>
        <w:t xml:space="preserve"> </w:t>
      </w:r>
      <w:r w:rsidDel="00000000" w:rsidR="00000000" w:rsidRPr="00000000">
        <w:rPr>
          <w:rFonts w:ascii="Times New Roman" w:cs="Times New Roman" w:eastAsia="Times New Roman" w:hAnsi="Times New Roman"/>
          <w:b w:val="1"/>
          <w:sz w:val="24"/>
          <w:szCs w:val="24"/>
          <w:rtl w:val="0"/>
        </w:rPr>
        <w:t xml:space="preserve">Editor:</w:t>
      </w:r>
      <w:r w:rsidDel="00000000" w:rsidR="00000000" w:rsidRPr="00000000">
        <w:rPr>
          <w:rFonts w:ascii="Times New Roman" w:cs="Times New Roman" w:eastAsia="Times New Roman" w:hAnsi="Times New Roman"/>
          <w:sz w:val="24"/>
          <w:szCs w:val="24"/>
          <w:rtl w:val="0"/>
        </w:rPr>
        <w:t xml:space="preserve"> Market Update</w:t>
        <w:br w:type="textWrapping"/>
        <w:t xml:space="preserve"> </w:t>
      </w:r>
      <w:r w:rsidDel="00000000" w:rsidR="00000000" w:rsidRPr="00000000">
        <w:rPr>
          <w:rFonts w:ascii="Times New Roman" w:cs="Times New Roman" w:eastAsia="Times New Roman" w:hAnsi="Times New Roman"/>
          <w:b w:val="1"/>
          <w:sz w:val="24"/>
          <w:szCs w:val="24"/>
          <w:rtl w:val="0"/>
        </w:rPr>
        <w:t xml:space="preserve">Editores:</w:t>
      </w:r>
      <w:r w:rsidDel="00000000" w:rsidR="00000000" w:rsidRPr="00000000">
        <w:rPr>
          <w:rFonts w:ascii="Times New Roman" w:cs="Times New Roman" w:eastAsia="Times New Roman" w:hAnsi="Times New Roman"/>
          <w:sz w:val="24"/>
          <w:szCs w:val="24"/>
          <w:rtl w:val="0"/>
        </w:rPr>
        <w:t xml:space="preserve"> Ryan McAdam, Austin Minick</w:t>
        <w:br w:type="textWrapping"/>
        <w:t xml:space="preserve"> </w:t>
      </w:r>
      <w:r w:rsidDel="00000000" w:rsidR="00000000" w:rsidRPr="00000000">
        <w:rPr>
          <w:rFonts w:ascii="Times New Roman" w:cs="Times New Roman" w:eastAsia="Times New Roman" w:hAnsi="Times New Roman"/>
          <w:b w:val="1"/>
          <w:sz w:val="24"/>
          <w:szCs w:val="24"/>
          <w:rtl w:val="0"/>
        </w:rPr>
        <w:t xml:space="preserve">Colaborador Semanal:</w:t>
      </w:r>
      <w:r w:rsidDel="00000000" w:rsidR="00000000" w:rsidRPr="00000000">
        <w:rPr>
          <w:rFonts w:ascii="Times New Roman" w:cs="Times New Roman" w:eastAsia="Times New Roman" w:hAnsi="Times New Roman"/>
          <w:sz w:val="24"/>
          <w:szCs w:val="24"/>
          <w:rtl w:val="0"/>
        </w:rPr>
        <w:t xml:space="preserve"> Stock Market Update</w:t>
        <w:br w:type="textWrapping"/>
        <w:t xml:space="preserve"> </w:t>
      </w:r>
      <w:r w:rsidDel="00000000" w:rsidR="00000000" w:rsidRPr="00000000">
        <w:rPr>
          <w:rFonts w:ascii="Times New Roman" w:cs="Times New Roman" w:eastAsia="Times New Roman" w:hAnsi="Times New Roman"/>
          <w:b w:val="1"/>
          <w:sz w:val="24"/>
          <w:szCs w:val="24"/>
          <w:rtl w:val="0"/>
        </w:rPr>
        <w:t xml:space="preserve">Fecha:</w:t>
      </w:r>
      <w:r w:rsidDel="00000000" w:rsidR="00000000" w:rsidRPr="00000000">
        <w:rPr>
          <w:rFonts w:ascii="Times New Roman" w:cs="Times New Roman" w:eastAsia="Times New Roman" w:hAnsi="Times New Roman"/>
          <w:sz w:val="24"/>
          <w:szCs w:val="24"/>
          <w:rtl w:val="0"/>
        </w:rPr>
        <w:t xml:space="preserve"> 9 de abril de 2025</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Wall Street experimentó un gran cambio hoy tras el anuncio del presidente Trump sobre una suspensión de 90 días en los aranceles a varios países. Este cambio inesperado en la política generó un sentimiento de optimismo en los mercados, provocando un fuerte repunte en las principales bolsas. El S&amp;P 500 subió un 9.5%, marcando su mayor ganancia en un solo día desde la crisis financiera de 2008. Mientras tanto, el Nasdaq subió aún más, con un aumento del 12.2%, y el Dow Jones Industrial Average también registró un sólido incremento del 8%.</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decisión de pausar los aranceles parece haber aliviado las preocupaciones generalizadas sobre las relaciones comerciales internacionales, que han sido fuente de inestabilidad del mercado en los últimos meses. En respuesta, el dólar estadounidense se fortaleció y los rendimientos de los bonos del Tesoro aumentaron, señalando una renovada confianza por parte de los inversores. Específicamente, el rendimiento del bono del Tesoro a 10 años subió al 4.33%, reflejando un mayor apetito por el riesgo. Los mercados de materias primas también respondieron positivamente, con los precios del petróleo subiendo más del 4%. Tanto el Brent como el West Texas Intermediate registraron sólidas ganancias, lo que indica confianza en la actividad económica global.</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embargo, a pesar del repunte de hoy, muchos inversores y analistas siguen siendo cautelosos. La suspensión de los aranceles es solo una medida temporal, y existe incertidumbre sobre cómo será la política comercial después de los 90 días. Sin una guía clara a largo plazo, la posibilidad de nuevas tensiones económicas sigue siendo una preocupación. Además, la reciente volatilidad en los mercados financieros ha generado alarmas a nivel estatal, especialmente en estados como Nueva York, donde los ingresos fiscales están estrechamente ligados al rendimiento de Wall Street. La gobernadora de Nueva York, Kathy Hochul, ha propuesto un presupuesto estatal de $252 mil millones, en gran parte basado en el supuesto de un rendimiento fuerte continuo del mercado. Pero con el S&amp;P 500 todavía un 20% por debajo de su pico en febrero, los economistas advierten que el estado podría necesitar reconsiderar sus proyecciones de ingresos y prioridades de gasto. Si continúa la inestabilidad del mercado, podrían producirse déficits presupuestarios, lo que obligaría a los legisladores a recortar gastos o buscar nuevas fuentes de ingresos.</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resumen, el repunte de hoy trajo algo de alivio, pero la incertidumbre en torno a la política comercial y su impacto económico más amplio está lejos de terminar.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